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rPr>
          <w:rFonts w:ascii="Times New Roman" w:hAnsi="Times New Roman" w:cs="Times New Roman"/>
          <w:sz w:val="24"/>
          <w:szCs w:val="24"/>
        </w:rPr>
      </w:pPr>
    </w:p>
    <w:p w:rsidR="00F04A97" w:rsidRPr="00F04A97" w:rsidRDefault="00F04A97"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Creation of a Study Guide from Readings</w:t>
      </w:r>
    </w:p>
    <w:p w:rsidR="00F04A97" w:rsidRPr="00F04A97" w:rsidRDefault="00F04A97"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Name of Student</w:t>
      </w:r>
    </w:p>
    <w:p w:rsidR="00F04A97" w:rsidRPr="00F04A97" w:rsidRDefault="00F04A97"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Name of Institution</w:t>
      </w:r>
    </w:p>
    <w:p w:rsidR="00F04A97" w:rsidRPr="00F04A97" w:rsidRDefault="00F04A97"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Date</w:t>
      </w:r>
      <w:r w:rsidRPr="00F04A97">
        <w:rPr>
          <w:rFonts w:ascii="Times New Roman" w:hAnsi="Times New Roman" w:cs="Times New Roman"/>
          <w:sz w:val="24"/>
          <w:szCs w:val="24"/>
        </w:rPr>
        <w:br w:type="page"/>
      </w:r>
    </w:p>
    <w:p w:rsidR="00623093" w:rsidRPr="00F04A97" w:rsidRDefault="00623093"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lastRenderedPageBreak/>
        <w:t>Week 1a</w:t>
      </w:r>
    </w:p>
    <w:p w:rsidR="00623093" w:rsidRPr="00F04A97" w:rsidRDefault="00A632F0" w:rsidP="00F04A97">
      <w:pPr>
        <w:pStyle w:val="ListParagraph"/>
        <w:numPr>
          <w:ilvl w:val="0"/>
          <w:numId w:val="1"/>
        </w:numPr>
        <w:spacing w:line="480" w:lineRule="auto"/>
        <w:rPr>
          <w:rFonts w:ascii="Times New Roman" w:hAnsi="Times New Roman" w:cs="Times New Roman"/>
          <w:sz w:val="24"/>
          <w:szCs w:val="24"/>
        </w:rPr>
      </w:pPr>
      <w:r w:rsidRPr="00F04A97">
        <w:rPr>
          <w:rFonts w:ascii="Times New Roman" w:hAnsi="Times New Roman" w:cs="Times New Roman"/>
          <w:sz w:val="24"/>
          <w:szCs w:val="24"/>
        </w:rPr>
        <w:t>Claudia Castaneda and Lucy Suchman (2014) "Robot Visions." </w:t>
      </w:r>
      <w:r w:rsidRPr="00F04A97">
        <w:rPr>
          <w:rFonts w:ascii="Times New Roman" w:hAnsi="Times New Roman" w:cs="Times New Roman"/>
          <w:i/>
          <w:iCs/>
          <w:sz w:val="24"/>
          <w:szCs w:val="24"/>
        </w:rPr>
        <w:t>Social Studies of Science</w:t>
      </w:r>
      <w:r w:rsidRPr="00F04A97">
        <w:rPr>
          <w:rFonts w:ascii="Times New Roman" w:hAnsi="Times New Roman" w:cs="Times New Roman"/>
          <w:sz w:val="24"/>
          <w:szCs w:val="24"/>
        </w:rPr>
        <w:t> 44(3), p.315-41</w:t>
      </w:r>
    </w:p>
    <w:p w:rsidR="00A632F0" w:rsidRPr="00F04A97" w:rsidRDefault="00DF6352"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context provides an analysis of what is perceived as almost human; inclusive of artificial AI programming, primates and children. The particular interest is in evaluating the cognitive element of Roberts with reference to those of humans, and analysis of how humans perceive the technological advancement of robots. </w:t>
      </w:r>
    </w:p>
    <w:p w:rsidR="00623093" w:rsidRPr="00F04A97" w:rsidRDefault="00257615" w:rsidP="00F04A97">
      <w:pPr>
        <w:pStyle w:val="ListParagraph"/>
        <w:numPr>
          <w:ilvl w:val="0"/>
          <w:numId w:val="1"/>
        </w:num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Bontius, </w:t>
      </w:r>
      <w:r w:rsidRPr="00F04A97">
        <w:rPr>
          <w:rFonts w:ascii="Times New Roman" w:hAnsi="Times New Roman" w:cs="Times New Roman"/>
          <w:i/>
          <w:iCs/>
          <w:sz w:val="24"/>
          <w:szCs w:val="24"/>
        </w:rPr>
        <w:t>Historiæ naturalis et medicæ Indiæ Orientalis</w:t>
      </w:r>
      <w:r w:rsidRPr="00F04A97">
        <w:rPr>
          <w:rFonts w:ascii="Times New Roman" w:hAnsi="Times New Roman" w:cs="Times New Roman"/>
          <w:sz w:val="24"/>
          <w:szCs w:val="24"/>
        </w:rPr>
        <w:t>  (Natural and Medical History of the East Indies), published by Willem Piso in 1658 (Sebastiani, p.2-3)</w:t>
      </w:r>
    </w:p>
    <w:p w:rsidR="00623093" w:rsidRPr="00F04A97" w:rsidRDefault="00DF6352"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phrase refers to the </w:t>
      </w:r>
      <w:r w:rsidR="005D72BD" w:rsidRPr="00F04A97">
        <w:rPr>
          <w:rFonts w:ascii="Times New Roman" w:hAnsi="Times New Roman" w:cs="Times New Roman"/>
          <w:sz w:val="24"/>
          <w:szCs w:val="24"/>
        </w:rPr>
        <w:t xml:space="preserve">natives of Indonesia, with careful assessment of their cultural lineage and also scientific evaluation of their genetic constituent. The phrase describes the works of a self-perceived medical pioneer and his evaluation of the people of South America, within the described limits. </w:t>
      </w:r>
    </w:p>
    <w:p w:rsidR="00623093" w:rsidRPr="00F04A97" w:rsidRDefault="00A632F0" w:rsidP="00F04A97">
      <w:pPr>
        <w:pStyle w:val="ListParagraph"/>
        <w:numPr>
          <w:ilvl w:val="0"/>
          <w:numId w:val="1"/>
        </w:numPr>
        <w:spacing w:line="480" w:lineRule="auto"/>
        <w:rPr>
          <w:rFonts w:ascii="Times New Roman" w:hAnsi="Times New Roman" w:cs="Times New Roman"/>
          <w:sz w:val="24"/>
          <w:szCs w:val="24"/>
        </w:rPr>
      </w:pPr>
      <w:r w:rsidRPr="00F04A97">
        <w:rPr>
          <w:rFonts w:ascii="Times New Roman" w:hAnsi="Times New Roman" w:cs="Times New Roman"/>
          <w:sz w:val="24"/>
          <w:szCs w:val="24"/>
        </w:rPr>
        <w:t>"A 'monster with human visage': The orangutan, savagery, and the borders of humanity in the global Enlightenment." </w:t>
      </w:r>
      <w:r w:rsidRPr="00F04A97">
        <w:rPr>
          <w:rFonts w:ascii="Times New Roman" w:hAnsi="Times New Roman" w:cs="Times New Roman"/>
          <w:i/>
          <w:iCs/>
          <w:sz w:val="24"/>
          <w:szCs w:val="24"/>
        </w:rPr>
        <w:t>History of the Human Sciences</w:t>
      </w:r>
      <w:r w:rsidRPr="00F04A97">
        <w:rPr>
          <w:rFonts w:ascii="Times New Roman" w:hAnsi="Times New Roman" w:cs="Times New Roman"/>
          <w:sz w:val="24"/>
          <w:szCs w:val="24"/>
        </w:rPr>
        <w:t>, 1-20</w:t>
      </w:r>
    </w:p>
    <w:p w:rsidR="00623093" w:rsidRPr="00F04A97" w:rsidRDefault="00AC32C9"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monster aspect clarifies that the being possesses features that are not necessary specific for human beings. However, the aspect of a human visage introduces analysis that the being may exhibit mannerisms and tendencies that are specific to persons. The phrase thus identifies a creature with human mannerism whose outer appearance does not reflect a person. </w:t>
      </w:r>
    </w:p>
    <w:p w:rsidR="00257615" w:rsidRPr="00F04A97" w:rsidRDefault="00257615" w:rsidP="00F04A97">
      <w:pPr>
        <w:pStyle w:val="ListParagraph"/>
        <w:numPr>
          <w:ilvl w:val="0"/>
          <w:numId w:val="1"/>
        </w:numPr>
        <w:spacing w:line="480" w:lineRule="auto"/>
        <w:rPr>
          <w:rFonts w:ascii="Times New Roman" w:hAnsi="Times New Roman" w:cs="Times New Roman"/>
          <w:sz w:val="24"/>
          <w:szCs w:val="24"/>
        </w:rPr>
      </w:pPr>
      <w:r w:rsidRPr="00F04A97">
        <w:rPr>
          <w:rFonts w:ascii="Times New Roman" w:hAnsi="Times New Roman" w:cs="Times New Roman"/>
          <w:sz w:val="24"/>
          <w:szCs w:val="24"/>
        </w:rPr>
        <w:t>“</w:t>
      </w:r>
      <w:r w:rsidRPr="00F04A97">
        <w:rPr>
          <w:rFonts w:ascii="Times New Roman" w:hAnsi="Times New Roman" w:cs="Times New Roman"/>
          <w:b/>
          <w:bCs/>
          <w:sz w:val="24"/>
          <w:szCs w:val="24"/>
        </w:rPr>
        <w:t xml:space="preserve">Whereas Long made of the association between black slaves and apes a permanent and indissoluble link, Monboddo included the orangutan within the borders of humanity, at </w:t>
      </w:r>
      <w:r w:rsidRPr="00F04A97">
        <w:rPr>
          <w:rFonts w:ascii="Times New Roman" w:hAnsi="Times New Roman" w:cs="Times New Roman"/>
          <w:b/>
          <w:bCs/>
          <w:sz w:val="24"/>
          <w:szCs w:val="24"/>
        </w:rPr>
        <w:lastRenderedPageBreak/>
        <w:t>the stage of savagery</w:t>
      </w:r>
      <w:r w:rsidRPr="00F04A97">
        <w:rPr>
          <w:rFonts w:ascii="Times New Roman" w:hAnsi="Times New Roman" w:cs="Times New Roman"/>
          <w:sz w:val="24"/>
          <w:szCs w:val="24"/>
        </w:rPr>
        <w:t>. He pushed that border in defense of slavery, even arguing that to be slaves was the ‘most proper’ condition for peasants, who, like cattle, ‘ought to be annexed to the soil, and bought and sold along with it’. At a moment in which Scotland was also discussing the emancipation of Scottish colliers and salters, kept in a condition of bondage, this argument was particularly provocative.  In Monboddo’s view, it was ‘undeniable’ that men were ‘different by nature’ and fitted for diverse tasks, and so slavery was the most rational choice for social order, as well as political economy. By linking the questions of slavery and servitude together, his pro-slavery argument dismissed the issue of skin colour, considered a mere accidental mark that made no distinction among men.  In stressing the civilizing role played by the Egyptians, ‘a nation of Black men with woolly hair’, Monboddo rejected the parallel between the ape and the African. His pro-slavery argument was rooted in an aristocratic view, whereas the humanity of the orangutan marked the historical distance travelled by human beings from their original conditions (Sebastiani, 2015; Wokler, 1988). Long and Monboddo illustrate that when the boundaries between humans and apes were lowered, the distances within the realm of humanity increased. A new hierarchy was then established: one that distanced, more radically than in any previous period, ‘civilization’ from ‘savagery’.” (Sebastiani p. 13)</w:t>
      </w:r>
    </w:p>
    <w:p w:rsidR="00623093" w:rsidRPr="00F04A97" w:rsidRDefault="007D5DD7"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context of social order is necessary within any civilization and that sets it apart from savagery. Within the era of Monboddo and Long, slavery and servitude were the most practical means of establishing social orders, and therefore, provided the necessary difference that men looked for in categorization of themselves into groups.</w:t>
      </w:r>
    </w:p>
    <w:p w:rsidR="00735F88" w:rsidRPr="00F04A97" w:rsidRDefault="00735F88"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Week 1b</w:t>
      </w:r>
    </w:p>
    <w:p w:rsidR="00735F88" w:rsidRPr="00F04A97" w:rsidRDefault="007D5DD7" w:rsidP="00F04A97">
      <w:pPr>
        <w:pStyle w:val="ListParagraph"/>
        <w:numPr>
          <w:ilvl w:val="0"/>
          <w:numId w:val="3"/>
        </w:num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 xml:space="preserve">metaphysics: human nature &amp; sovereignty of reason; evolution, progress, </w:t>
      </w:r>
      <w:r w:rsidRPr="00F04A97">
        <w:rPr>
          <w:rFonts w:ascii="Times New Roman" w:hAnsi="Times New Roman" w:cs="Times New Roman"/>
          <w:i/>
          <w:iCs/>
          <w:sz w:val="24"/>
          <w:szCs w:val="24"/>
        </w:rPr>
        <w:t>perfectibilité</w:t>
      </w:r>
      <w:r w:rsidRPr="00F04A97">
        <w:rPr>
          <w:rFonts w:ascii="Times New Roman" w:hAnsi="Times New Roman" w:cs="Times New Roman"/>
          <w:sz w:val="24"/>
          <w:szCs w:val="24"/>
        </w:rPr>
        <w:t xml:space="preserve"> (p.12) &amp; teleology</w:t>
      </w:r>
    </w:p>
    <w:p w:rsidR="007D5DD7" w:rsidRPr="00F04A97" w:rsidRDefault="00441FD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w:t>
      </w:r>
      <w:r w:rsidR="007D5DD7" w:rsidRPr="00F04A97">
        <w:rPr>
          <w:rFonts w:ascii="Times New Roman" w:hAnsi="Times New Roman" w:cs="Times New Roman"/>
          <w:sz w:val="24"/>
          <w:szCs w:val="24"/>
        </w:rPr>
        <w:t xml:space="preserve">he quote presents an argument by a philosopher who argued that reason was much less significant as opposed to </w:t>
      </w:r>
      <w:r w:rsidRPr="00F04A97">
        <w:rPr>
          <w:rFonts w:ascii="Times New Roman" w:hAnsi="Times New Roman" w:cs="Times New Roman"/>
          <w:sz w:val="24"/>
          <w:szCs w:val="24"/>
        </w:rPr>
        <w:t>the natural environment and psychology as precursors to drive the human race onwards throughout evolution. The philosopher’s perception indicates that since humans are a social being, progress needs combined effort rather than isolation.</w:t>
      </w:r>
    </w:p>
    <w:p w:rsidR="00735F88" w:rsidRPr="00F04A97" w:rsidRDefault="007D5DD7" w:rsidP="00F04A97">
      <w:pPr>
        <w:pStyle w:val="ListParagraph"/>
        <w:numPr>
          <w:ilvl w:val="0"/>
          <w:numId w:val="3"/>
        </w:numPr>
        <w:spacing w:line="480" w:lineRule="auto"/>
        <w:rPr>
          <w:rFonts w:ascii="Times New Roman" w:hAnsi="Times New Roman" w:cs="Times New Roman"/>
          <w:sz w:val="24"/>
          <w:szCs w:val="24"/>
        </w:rPr>
      </w:pPr>
      <w:r w:rsidRPr="00F04A97">
        <w:rPr>
          <w:rFonts w:ascii="Times New Roman" w:hAnsi="Times New Roman" w:cs="Times New Roman"/>
          <w:i/>
          <w:iCs/>
          <w:sz w:val="24"/>
          <w:szCs w:val="24"/>
        </w:rPr>
        <w:t xml:space="preserve"> “…the humanization of the orangutan went hand in hand with the animalization of the ‘savage’.” (Sebastiani p.2)</w:t>
      </w:r>
    </w:p>
    <w:p w:rsidR="00AC32C9" w:rsidRPr="00F04A97" w:rsidRDefault="00B8151C"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perception of the orangutan is that of a monster. The phrase evaluates that in trying to analyze the orangutan though human virtues and traits, the role of a person slipped into traits definitive of savagery. The </w:t>
      </w:r>
      <w:r w:rsidR="00E621AC" w:rsidRPr="00F04A97">
        <w:rPr>
          <w:rFonts w:ascii="Times New Roman" w:hAnsi="Times New Roman" w:cs="Times New Roman"/>
          <w:sz w:val="24"/>
          <w:szCs w:val="24"/>
        </w:rPr>
        <w:t>men acting less civilized are</w:t>
      </w:r>
      <w:r w:rsidRPr="00F04A97">
        <w:rPr>
          <w:rFonts w:ascii="Times New Roman" w:hAnsi="Times New Roman" w:cs="Times New Roman"/>
          <w:sz w:val="24"/>
          <w:szCs w:val="24"/>
        </w:rPr>
        <w:t xml:space="preserve"> equal to savagery </w:t>
      </w:r>
      <w:r w:rsidR="00E621AC" w:rsidRPr="00F04A97">
        <w:rPr>
          <w:rFonts w:ascii="Times New Roman" w:hAnsi="Times New Roman" w:cs="Times New Roman"/>
          <w:sz w:val="24"/>
          <w:szCs w:val="24"/>
        </w:rPr>
        <w:t>comparable to actions of less developed creatures.</w:t>
      </w:r>
    </w:p>
    <w:p w:rsidR="00E621AC" w:rsidRPr="00F04A97" w:rsidRDefault="005330EF" w:rsidP="00F04A97">
      <w:pPr>
        <w:pStyle w:val="ListParagraph"/>
        <w:numPr>
          <w:ilvl w:val="0"/>
          <w:numId w:val="3"/>
        </w:numPr>
        <w:spacing w:line="480" w:lineRule="auto"/>
        <w:rPr>
          <w:rFonts w:ascii="Times New Roman" w:hAnsi="Times New Roman" w:cs="Times New Roman"/>
          <w:sz w:val="24"/>
          <w:szCs w:val="24"/>
        </w:rPr>
      </w:pPr>
      <w:r w:rsidRPr="00F04A97">
        <w:rPr>
          <w:rFonts w:ascii="Times New Roman" w:hAnsi="Times New Roman" w:cs="Times New Roman"/>
          <w:sz w:val="24"/>
          <w:szCs w:val="24"/>
        </w:rPr>
        <w:t>“The intellectual history of Europe is comprehensible only within a global history of colonial encounters. These encounters were asymmetrical insofar as vernacular knowledge was disqualified, while European knowledge became ‘universal’.” (p.10)</w:t>
      </w:r>
      <w:r w:rsidR="007D5DD7" w:rsidRPr="00F04A97">
        <w:rPr>
          <w:rFonts w:ascii="Times New Roman" w:hAnsi="Times New Roman" w:cs="Times New Roman"/>
          <w:sz w:val="24"/>
          <w:szCs w:val="24"/>
        </w:rPr>
        <w:t xml:space="preserve"> </w:t>
      </w:r>
      <w:r w:rsidR="007D5DD7" w:rsidRPr="00F04A97">
        <w:rPr>
          <w:rFonts w:ascii="Times New Roman" w:hAnsi="Times New Roman" w:cs="Times New Roman"/>
          <w:i/>
          <w:iCs/>
          <w:sz w:val="24"/>
          <w:szCs w:val="24"/>
        </w:rPr>
        <w:t>how does this play out in terms of science, knowledge, &amp; the university?</w:t>
      </w:r>
    </w:p>
    <w:p w:rsidR="00E621AC" w:rsidRPr="00F04A97" w:rsidRDefault="009B3846"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A closer look at the colonial period provides the context for the global assimilation of the European tongue while all forms of vernacular lost their significance. Since Europe’s effort was mostly as a colonial force, the subject psychologically exhibited the need to recognize themselves </w:t>
      </w:r>
      <w:r w:rsidR="00D53577" w:rsidRPr="00F04A97">
        <w:rPr>
          <w:rFonts w:ascii="Times New Roman" w:hAnsi="Times New Roman" w:cs="Times New Roman"/>
          <w:sz w:val="24"/>
          <w:szCs w:val="24"/>
        </w:rPr>
        <w:t xml:space="preserve">with their masters. The latter were perceived as masters of knowledge. </w:t>
      </w:r>
    </w:p>
    <w:p w:rsidR="00D53577" w:rsidRPr="00F04A97" w:rsidRDefault="0016319A" w:rsidP="00F04A97">
      <w:pPr>
        <w:pStyle w:val="ListParagraph"/>
        <w:numPr>
          <w:ilvl w:val="0"/>
          <w:numId w:val="3"/>
        </w:num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 xml:space="preserve">“Children, artificial intelligence (AI) computer programs, and nonhuman primates all here embody ‘almost minds’. Who or what has fully human status?...What is the end, or telos, of this discourse of approximation, reproduction, and communication, in which the boundaries among and within machines, animals, and humans are exceedingly permeable? Where will this evolutionary, developmental, and historical communicative commerce take us in the techno-bio-politics of difference?” (Haraway, </w:t>
      </w:r>
      <w:r w:rsidRPr="00F04A97">
        <w:rPr>
          <w:rFonts w:ascii="Times New Roman" w:hAnsi="Times New Roman" w:cs="Times New Roman"/>
          <w:i/>
          <w:iCs/>
          <w:sz w:val="24"/>
          <w:szCs w:val="24"/>
        </w:rPr>
        <w:t xml:space="preserve">Primate Visions, </w:t>
      </w:r>
      <w:r w:rsidRPr="00F04A97">
        <w:rPr>
          <w:rFonts w:ascii="Times New Roman" w:hAnsi="Times New Roman" w:cs="Times New Roman"/>
          <w:sz w:val="24"/>
          <w:szCs w:val="24"/>
        </w:rPr>
        <w:t>quoted in Castañeda &amp; Suchman, p.316)</w:t>
      </w:r>
      <w:hyperlink r:id="rId7" w:history="1">
        <w:r w:rsidRPr="00F04A97">
          <w:rPr>
            <w:rStyle w:val="Hyperlink"/>
            <w:rFonts w:ascii="Times New Roman" w:hAnsi="Times New Roman" w:cs="Times New Roman"/>
            <w:color w:val="auto"/>
            <w:sz w:val="24"/>
            <w:szCs w:val="24"/>
          </w:rPr>
          <w:t xml:space="preserve"> </w:t>
        </w:r>
      </w:hyperlink>
    </w:p>
    <w:p w:rsidR="00D53577" w:rsidRPr="00F04A97" w:rsidRDefault="0016319A"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phrase consequently questions the barriers that make a character identifiable as human, animal and robot. I question whether constant development has lead to a blurring of the difference and the mental capabilities of the three. One significant consideration for the differences is the mental conditions and capabilities.  </w:t>
      </w:r>
    </w:p>
    <w:p w:rsidR="00D53577" w:rsidRPr="00F04A97" w:rsidRDefault="00D53577"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2 a</w:t>
      </w:r>
    </w:p>
    <w:p w:rsidR="00D53577" w:rsidRPr="00F04A97" w:rsidRDefault="00D53577" w:rsidP="00F04A97">
      <w:pPr>
        <w:pStyle w:val="ListParagraph"/>
        <w:numPr>
          <w:ilvl w:val="0"/>
          <w:numId w:val="4"/>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as opposed to universal laws or categorical essences (Haraway’s Koko &amp; “universal man”, Schutz on disinterested vs. engaged view of cultural patterns p.92)</w:t>
      </w:r>
    </w:p>
    <w:p w:rsidR="00D53577" w:rsidRPr="00F04A97" w:rsidRDefault="0016319A"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Koko seeks to define a man according to the purpose or telos they assign to themselves. Within such a structure, the evaluation of the deeds by a person significantly considers whether they possess and fulfill an obligation. The element was more significant than the evaluation of the consequences of the deed.</w:t>
      </w:r>
    </w:p>
    <w:p w:rsidR="00D53577" w:rsidRPr="00F04A97" w:rsidRDefault="00D53577" w:rsidP="00F04A97">
      <w:pPr>
        <w:pStyle w:val="ListParagraph"/>
        <w:numPr>
          <w:ilvl w:val="0"/>
          <w:numId w:val="4"/>
        </w:numPr>
        <w:spacing w:line="480" w:lineRule="auto"/>
        <w:rPr>
          <w:rFonts w:ascii="Times New Roman" w:hAnsi="Times New Roman" w:cs="Times New Roman"/>
          <w:sz w:val="24"/>
          <w:szCs w:val="24"/>
        </w:rPr>
      </w:pPr>
      <w:r w:rsidRPr="00F04A97">
        <w:rPr>
          <w:rFonts w:ascii="Times New Roman" w:hAnsi="Times New Roman" w:cs="Times New Roman"/>
          <w:sz w:val="24"/>
          <w:szCs w:val="24"/>
        </w:rPr>
        <w:t>“…the knowledge of the man who acts and thinks within the world of his daily life is not homogenous; it is (1) incoherent, (2) partially clear, and (3) not free from contradictions” (p. 93) yet in practice takes on a “</w:t>
      </w:r>
      <w:r w:rsidRPr="00F04A97">
        <w:rPr>
          <w:rFonts w:ascii="Times New Roman" w:hAnsi="Times New Roman" w:cs="Times New Roman"/>
          <w:i/>
          <w:iCs/>
          <w:sz w:val="24"/>
          <w:szCs w:val="24"/>
        </w:rPr>
        <w:t xml:space="preserve">sufficient </w:t>
      </w:r>
      <w:r w:rsidRPr="00F04A97">
        <w:rPr>
          <w:rFonts w:ascii="Times New Roman" w:hAnsi="Times New Roman" w:cs="Times New Roman"/>
          <w:sz w:val="24"/>
          <w:szCs w:val="24"/>
        </w:rPr>
        <w:t>coherence, clarity &amp; consistency” (p.95)</w:t>
      </w:r>
    </w:p>
    <w:p w:rsidR="00D53577" w:rsidRPr="00F04A97" w:rsidRDefault="009165BA"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The quote evaluates the role of a stranger who either seeks the approval, or in the least, toleration by a social group while attempting to decipher their cultural pattern. It is imperative that the stranger have an open perception with a willingness</w:t>
      </w:r>
      <w:r w:rsidR="00541525" w:rsidRPr="00F04A97">
        <w:rPr>
          <w:rFonts w:ascii="Times New Roman" w:hAnsi="Times New Roman" w:cs="Times New Roman"/>
          <w:sz w:val="24"/>
          <w:szCs w:val="24"/>
        </w:rPr>
        <w:t xml:space="preserve"> to learn. </w:t>
      </w:r>
    </w:p>
    <w:p w:rsidR="00D53577" w:rsidRPr="00F04A97" w:rsidRDefault="00D53577" w:rsidP="00F04A97">
      <w:pPr>
        <w:pStyle w:val="ListParagraph"/>
        <w:numPr>
          <w:ilvl w:val="0"/>
          <w:numId w:val="4"/>
        </w:num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Incoherent knowledge gains </w:t>
      </w:r>
      <w:r w:rsidRPr="00F04A97">
        <w:rPr>
          <w:rFonts w:ascii="Times New Roman" w:hAnsi="Times New Roman" w:cs="Times New Roman"/>
          <w:i/>
          <w:iCs/>
          <w:sz w:val="24"/>
          <w:szCs w:val="24"/>
        </w:rPr>
        <w:t xml:space="preserve">sufficient coherence </w:t>
      </w:r>
      <w:r w:rsidRPr="00F04A97">
        <w:rPr>
          <w:rFonts w:ascii="Times New Roman" w:hAnsi="Times New Roman" w:cs="Times New Roman"/>
          <w:sz w:val="24"/>
          <w:szCs w:val="24"/>
        </w:rPr>
        <w:t>in practice, thanks to “recipes” for expression &amp; interpretation (see discussion p.95-96)</w:t>
      </w:r>
    </w:p>
    <w:p w:rsidR="00D53577" w:rsidRPr="00F04A97" w:rsidRDefault="0054152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Even in instances where we do not possess enough knowledge about the mannerisms and behaviors necessitated within the aspect o certain community, practical application gives us an edge of what guides to follow. It is necessary to learn different ways of applying language to practice of even the little things when learning.</w:t>
      </w:r>
    </w:p>
    <w:p w:rsidR="00D53577" w:rsidRPr="00F04A97" w:rsidRDefault="00D53577" w:rsidP="00F04A97">
      <w:pPr>
        <w:pStyle w:val="ListParagraph"/>
        <w:numPr>
          <w:ilvl w:val="0"/>
          <w:numId w:val="4"/>
        </w:numPr>
        <w:spacing w:line="480" w:lineRule="auto"/>
        <w:rPr>
          <w:rFonts w:ascii="Times New Roman" w:hAnsi="Times New Roman" w:cs="Times New Roman"/>
          <w:sz w:val="24"/>
          <w:szCs w:val="24"/>
        </w:rPr>
      </w:pPr>
      <w:r w:rsidRPr="00F04A97">
        <w:rPr>
          <w:rFonts w:ascii="Times New Roman" w:hAnsi="Times New Roman" w:cs="Times New Roman"/>
          <w:sz w:val="24"/>
          <w:szCs w:val="24"/>
        </w:rPr>
        <w:t>Thus stranger has a peculiar “objectivity” (p. 104) in the absence of “thinking as usual”</w:t>
      </w:r>
    </w:p>
    <w:p w:rsidR="00D53577" w:rsidRPr="00F04A97" w:rsidRDefault="0054152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For a stranger within a new social construct, his normal thought patterns will follow what his past experiences taught him. The knowledge he relies on may set him aside from members of the new social group, whose experiences are different from his. </w:t>
      </w:r>
    </w:p>
    <w:p w:rsidR="00541525" w:rsidRPr="00F04A97" w:rsidRDefault="00541525"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2b</w:t>
      </w:r>
    </w:p>
    <w:p w:rsidR="00451ECB" w:rsidRPr="00F04A97" w:rsidRDefault="00451ECB" w:rsidP="00F04A97">
      <w:pPr>
        <w:pStyle w:val="ListParagraph"/>
        <w:numPr>
          <w:ilvl w:val="0"/>
          <w:numId w:val="5"/>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“In an age when skeptical doubt has taken root in the world (…) it becomes harder to penetrate to</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 xml:space="preserve">a level where the categories of sense and non-sense are not yet invoked.” (p.3) </w:t>
      </w:r>
    </w:p>
    <w:p w:rsidR="00541525" w:rsidRPr="00F04A97" w:rsidRDefault="00644C57"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quote differentiates whites from blacks and this demarcation makes sense to the author. However, he evaluates that the manner in which the black men aspire to be recognized as human as a destruction of order and sensibility of the context of his understanding of hierarchical placement. </w:t>
      </w:r>
    </w:p>
    <w:p w:rsidR="00644C57" w:rsidRPr="00F04A97" w:rsidRDefault="00644C57" w:rsidP="00F04A97">
      <w:pPr>
        <w:pStyle w:val="ListParagraph"/>
        <w:numPr>
          <w:ilvl w:val="0"/>
          <w:numId w:val="5"/>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lastRenderedPageBreak/>
        <w:t>“Every colonized people—in other words, every people in whose</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soul an inferiority complex has been created by the death and</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burial of its local cultural originality—finds itself face to face with</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the language of the civilizing nation; that is, with the culture of the</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mother country. The colonized is elevated above his jungle status</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in proportion to his adoption of the mother country’s cultural</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standards. He becomes whiter as he renounces his blackness,</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his jungle.”  (p.9)</w:t>
      </w:r>
    </w:p>
    <w:p w:rsidR="00644C57" w:rsidRPr="00F04A97" w:rsidRDefault="00644C57"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It is the perception of the author that colonization is a vital sense of elevating the oppressed from savagery levels to civilizations, and in return, he thinks it a necessary step for them to assume the colonizers language and customs since theirs is nothing but savage</w:t>
      </w:r>
    </w:p>
    <w:p w:rsidR="00644C57" w:rsidRPr="00F04A97" w:rsidRDefault="00644C57" w:rsidP="00F04A97">
      <w:pPr>
        <w:pStyle w:val="ListParagraph"/>
        <w:numPr>
          <w:ilvl w:val="0"/>
          <w:numId w:val="5"/>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“I meet a Russian or a German who speaks French badly. With</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gestures I try to give him the information that he requests, but at</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the same time I can hardly forget that he has a language of his</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own, a country, and that perhaps he is a lawyer or an engineer</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there. In any case, he is foreign to my group, and his standards</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must be different.</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When it comes to the case of the Negro, nothing of the kind.</w:t>
      </w:r>
      <w:r w:rsidRPr="00F04A97">
        <w:rPr>
          <w:rFonts w:ascii="Times New Roman" w:hAnsi="Times New Roman" w:cs="Times New Roman"/>
          <w:sz w:val="24"/>
          <w:szCs w:val="24"/>
        </w:rPr>
        <w:t xml:space="preserve"> </w:t>
      </w:r>
      <w:r w:rsidRPr="00F04A97">
        <w:rPr>
          <w:rFonts w:ascii="Times New Roman" w:hAnsi="Times New Roman" w:cs="Times New Roman"/>
          <w:b/>
          <w:bCs/>
          <w:sz w:val="24"/>
          <w:szCs w:val="24"/>
        </w:rPr>
        <w:t>He has no culture, no civilization, no ‘long historical past.’” (p.21)</w:t>
      </w:r>
    </w:p>
    <w:p w:rsidR="00644C57" w:rsidRPr="00F04A97" w:rsidRDefault="008879A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author grants nations the privileges or recognition and issuance of titles, so long as the nation in question is of respectable standing. Given that blacks come from colonized nations, their slate is clean and no necessity to grant them recognition or titles since their nations are not recognized.</w:t>
      </w:r>
    </w:p>
    <w:p w:rsidR="008879A5" w:rsidRPr="00F04A97" w:rsidRDefault="008879A5" w:rsidP="00F04A97">
      <w:pPr>
        <w:pStyle w:val="ListParagraph"/>
        <w:numPr>
          <w:ilvl w:val="0"/>
          <w:numId w:val="5"/>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 xml:space="preserve">“I do not come with timeless truths.” (p.1) </w:t>
      </w:r>
    </w:p>
    <w:p w:rsidR="008879A5" w:rsidRPr="00F04A97" w:rsidRDefault="008879A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The author argues that his perception and speech propagate the real-life scenario as he sees it, and disclaims any notion that they will stand the test of time and pass. He exclaims that his perception is an analysis of the current situations, particularly those of the Black man as subjects</w:t>
      </w:r>
    </w:p>
    <w:p w:rsidR="00644C57" w:rsidRPr="00F04A97" w:rsidRDefault="008A575A"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3a</w:t>
      </w:r>
    </w:p>
    <w:p w:rsidR="008A575A" w:rsidRPr="00F04A97" w:rsidRDefault="008A575A" w:rsidP="00F04A97">
      <w:pPr>
        <w:pStyle w:val="ListParagraph"/>
        <w:numPr>
          <w:ilvl w:val="0"/>
          <w:numId w:val="6"/>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“Consider that there is a sedimentation of gender norms that produces the peculiar phenomenon of a natural sex, or a real woman, or any number of prevalent and compelling social fictions, and that this is a sedimentation that over time has produced a set of corporeal styles which, in reified form, appear as the natural configuration of bodies into sexes that exist in binary relation to one another.” (p. 524)</w:t>
      </w:r>
    </w:p>
    <w:p w:rsidR="008A575A" w:rsidRPr="00F04A97" w:rsidRDefault="008A575A"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author specifies his perception that normative heterosexuality, and behaviors that assimilate the binary gender type are not natural but rather are learned within the context of the assigned sex. What we associate as masculinity and femininity is a matter of the roles we learn through experiences, and the same is transferable according to duties.</w:t>
      </w:r>
    </w:p>
    <w:p w:rsidR="008A575A" w:rsidRPr="00F04A97" w:rsidRDefault="008A575A" w:rsidP="00F04A97">
      <w:pPr>
        <w:pStyle w:val="ListParagraph"/>
        <w:numPr>
          <w:ilvl w:val="0"/>
          <w:numId w:val="6"/>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“I (…) show that what is called gende</w:t>
      </w:r>
      <w:r w:rsidR="00AB4A04" w:rsidRPr="00F04A97">
        <w:rPr>
          <w:rFonts w:ascii="Times New Roman" w:hAnsi="Times New Roman" w:cs="Times New Roman"/>
          <w:b/>
          <w:bCs/>
          <w:sz w:val="24"/>
          <w:szCs w:val="24"/>
        </w:rPr>
        <w:t xml:space="preserve">r identity is a performative </w:t>
      </w:r>
      <w:r w:rsidRPr="00F04A97">
        <w:rPr>
          <w:rFonts w:ascii="Times New Roman" w:hAnsi="Times New Roman" w:cs="Times New Roman"/>
          <w:b/>
          <w:bCs/>
          <w:sz w:val="24"/>
          <w:szCs w:val="24"/>
        </w:rPr>
        <w:t>accomplishment compelled by social sanction and taboo.” (p.520)</w:t>
      </w:r>
    </w:p>
    <w:p w:rsidR="008A575A" w:rsidRPr="00F04A97" w:rsidRDefault="00AB4A04"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experience of a person provides instances of behaviors that can be construed as performances of how they relate to the identification of themselves as persons. Cultural influence also plays a crucial role in shaping the gendered and categorization of the subject, which are applicable to social definitions of characters.</w:t>
      </w:r>
    </w:p>
    <w:p w:rsidR="00AB4A04" w:rsidRPr="00F04A97" w:rsidRDefault="00AB4A04" w:rsidP="00F04A97">
      <w:pPr>
        <w:pStyle w:val="ListParagraph"/>
        <w:numPr>
          <w:ilvl w:val="0"/>
          <w:numId w:val="6"/>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”…individualist assumptions underlying the more restricted view of constituting acts in phenomenological tradition” (p.525)</w:t>
      </w:r>
    </w:p>
    <w:p w:rsidR="00AB4A04" w:rsidRPr="00F04A97" w:rsidRDefault="00AB4A04"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The context of gender is identifiable through situations analyzed through the lens of history rather than natural facts. The body presents a shell whereas the historical concept provides a cultural platform via which it can bear a gendered meaning and associate with specified roles and responsibilities.</w:t>
      </w:r>
    </w:p>
    <w:p w:rsidR="00AB4A04" w:rsidRPr="00F04A97" w:rsidRDefault="00AB4A04" w:rsidP="00F04A97">
      <w:pPr>
        <w:pStyle w:val="ListParagraph"/>
        <w:numPr>
          <w:ilvl w:val="0"/>
          <w:numId w:val="6"/>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“gender cannot be understood as a role which expresses or disguises an interior ‘self’” (p.528)</w:t>
      </w:r>
    </w:p>
    <w:p w:rsidR="00AB4A04" w:rsidRPr="00F04A97" w:rsidRDefault="00AB4A04"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Given that the meaning that defines the gender of the body requires certain roles and responsibilities to be understood, </w:t>
      </w:r>
      <w:r w:rsidR="00B259C6" w:rsidRPr="00F04A97">
        <w:rPr>
          <w:rFonts w:ascii="Times New Roman" w:hAnsi="Times New Roman" w:cs="Times New Roman"/>
          <w:sz w:val="24"/>
          <w:szCs w:val="24"/>
        </w:rPr>
        <w:t xml:space="preserve">the body is not exempt, nor is it free from such roles. Rather, the body is subject to the personification of personhood and thus identifies through the same. </w:t>
      </w:r>
    </w:p>
    <w:p w:rsidR="00B259C6" w:rsidRPr="00F04A97" w:rsidRDefault="00B259C6"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3b</w:t>
      </w:r>
    </w:p>
    <w:p w:rsidR="00B259C6" w:rsidRPr="00F04A97" w:rsidRDefault="00B259C6" w:rsidP="00F04A97">
      <w:p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 xml:space="preserve">”In the 1992 trial of four white police officers charged with beating Mr. Rodney King, an African-American motorist who had been stopped for speeding, a videotape of the beating became a </w:t>
      </w:r>
      <w:r w:rsidRPr="00F04A97">
        <w:rPr>
          <w:rFonts w:ascii="Times New Roman" w:hAnsi="Times New Roman" w:cs="Times New Roman"/>
          <w:b/>
          <w:bCs/>
          <w:i/>
          <w:iCs/>
          <w:sz w:val="24"/>
          <w:szCs w:val="24"/>
        </w:rPr>
        <w:t>politically charged theater for contested vision</w:t>
      </w:r>
      <w:r w:rsidRPr="00F04A97">
        <w:rPr>
          <w:rFonts w:ascii="Times New Roman" w:hAnsi="Times New Roman" w:cs="Times New Roman"/>
          <w:b/>
          <w:bCs/>
          <w:sz w:val="24"/>
          <w:szCs w:val="24"/>
        </w:rPr>
        <w:t>.” (Goodwin, p.606)</w:t>
      </w:r>
    </w:p>
    <w:p w:rsidR="00B259C6" w:rsidRPr="00F04A97" w:rsidRDefault="00B259C6"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Goodwin provides an analytical assistance that aids in evaluating a video of a citizen named Rodney King being beaten by police officers. The analysis follows the methods that the experts within the courtroom coded, highlighted and presented the video aspect concerning the beating, seeking to understand the ruling and political upheaval that followed.</w:t>
      </w:r>
    </w:p>
    <w:p w:rsidR="00B259C6" w:rsidRPr="00F04A97" w:rsidRDefault="00B259C6"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4a</w:t>
      </w:r>
    </w:p>
    <w:p w:rsidR="00B259C6" w:rsidRPr="00F04A97" w:rsidRDefault="00B259C6" w:rsidP="00F04A97">
      <w:pPr>
        <w:pStyle w:val="ListParagraph"/>
        <w:numPr>
          <w:ilvl w:val="0"/>
          <w:numId w:val="7"/>
        </w:numPr>
        <w:spacing w:line="480" w:lineRule="auto"/>
        <w:rPr>
          <w:rFonts w:ascii="Times New Roman" w:hAnsi="Times New Roman" w:cs="Times New Roman"/>
          <w:sz w:val="24"/>
          <w:szCs w:val="24"/>
        </w:rPr>
      </w:pPr>
      <w:r w:rsidRPr="00F04A97">
        <w:rPr>
          <w:rFonts w:ascii="Times New Roman" w:hAnsi="Times New Roman" w:cs="Times New Roman"/>
          <w:sz w:val="24"/>
          <w:szCs w:val="24"/>
        </w:rPr>
        <w:t>As the world got harder, more artificial, or socially threatening, the less well Adam performed and the more he was noticed, documented and remediated.” (p.30)</w:t>
      </w:r>
    </w:p>
    <w:p w:rsidR="00B259C6" w:rsidRPr="00F04A97" w:rsidRDefault="00A67CA9"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 xml:space="preserve">The character, Adam, was analyzed of his behaviors and social through four elements; everyday life, after-school clubs, classroom work groups, and one-on-one tests. Identified as one with a learning disorder, his evaluation took the forms of cognitive difficulty, special constraints, institutional visibility, and individual vulnerability. </w:t>
      </w:r>
    </w:p>
    <w:p w:rsidR="00A67CA9" w:rsidRPr="00F04A97" w:rsidRDefault="00A67CA9" w:rsidP="00F04A97">
      <w:pPr>
        <w:pStyle w:val="ListParagraph"/>
        <w:numPr>
          <w:ilvl w:val="0"/>
          <w:numId w:val="7"/>
        </w:numPr>
        <w:spacing w:line="480" w:lineRule="auto"/>
        <w:rPr>
          <w:rFonts w:ascii="Times New Roman" w:hAnsi="Times New Roman" w:cs="Times New Roman"/>
          <w:sz w:val="24"/>
          <w:szCs w:val="24"/>
        </w:rPr>
      </w:pPr>
      <w:r w:rsidRPr="00F04A97">
        <w:rPr>
          <w:rFonts w:ascii="Times New Roman" w:hAnsi="Times New Roman" w:cs="Times New Roman"/>
          <w:sz w:val="24"/>
          <w:szCs w:val="24"/>
        </w:rPr>
        <w:t>“His situation invites sympathy, and such descriptions as we have given are generally used to move readers to some action…The problem, our problem as educators of educators, lies in determining the direction of movement. [Many education theories] proclaim they ‘focus on the needs of individual children so they can become all they can be,’…a noble but easily misguided sentiment…because a critique of the direction taken is often interpreted as a critique of the need to move.”  (p.37)</w:t>
      </w:r>
    </w:p>
    <w:p w:rsidR="00B259C6" w:rsidRPr="00F04A97" w:rsidRDefault="005F61AC"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Though the situation of Adam invites sympathy, action requires the notion or establishment of a movement. However, for those who set the curriculum and decides which fields to set the tests. It is crucial that they formulate policies that are in agreement with such a guide. </w:t>
      </w:r>
    </w:p>
    <w:p w:rsidR="00B259C6" w:rsidRPr="00F04A97" w:rsidRDefault="00A67CA9" w:rsidP="00F04A97">
      <w:pPr>
        <w:pStyle w:val="ListParagraph"/>
        <w:numPr>
          <w:ilvl w:val="0"/>
          <w:numId w:val="7"/>
        </w:numPr>
        <w:spacing w:line="480" w:lineRule="auto"/>
        <w:rPr>
          <w:rFonts w:ascii="Times New Roman" w:hAnsi="Times New Roman" w:cs="Times New Roman"/>
          <w:sz w:val="24"/>
          <w:szCs w:val="24"/>
        </w:rPr>
      </w:pPr>
      <w:r w:rsidRPr="00F04A97">
        <w:rPr>
          <w:rFonts w:ascii="Times New Roman" w:hAnsi="Times New Roman" w:cs="Times New Roman"/>
          <w:sz w:val="24"/>
          <w:szCs w:val="24"/>
        </w:rPr>
        <w:t>“As we work at identifying someone as a child in need, as we develop means to help others identify him, it is easy to stop considering the actual, active, alive child who handles his problem resourcefully, even in crying.” (p. 38)</w:t>
      </w:r>
    </w:p>
    <w:p w:rsidR="00A67CA9" w:rsidRPr="00F04A97" w:rsidRDefault="005F61AC"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Prior to offering support to children identified as in need, we first label them then announce such to all. An influential bit that requires much more attention from us necessitates considering evaluating the child’s psychological and emotional response behaviors. Their primary state and reception of this often eludes us. </w:t>
      </w:r>
    </w:p>
    <w:p w:rsidR="00A67CA9" w:rsidRPr="00F04A97" w:rsidRDefault="00A67CA9" w:rsidP="00F04A97">
      <w:pPr>
        <w:pStyle w:val="ListParagraph"/>
        <w:numPr>
          <w:ilvl w:val="0"/>
          <w:numId w:val="7"/>
        </w:num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“On </w:t>
      </w:r>
      <w:r w:rsidR="0005556E" w:rsidRPr="00F04A97">
        <w:rPr>
          <w:rFonts w:ascii="Times New Roman" w:hAnsi="Times New Roman" w:cs="Times New Roman"/>
          <w:sz w:val="24"/>
          <w:szCs w:val="24"/>
        </w:rPr>
        <w:t>its</w:t>
      </w:r>
      <w:r w:rsidRPr="00F04A97">
        <w:rPr>
          <w:rFonts w:ascii="Times New Roman" w:hAnsi="Times New Roman" w:cs="Times New Roman"/>
          <w:sz w:val="24"/>
          <w:szCs w:val="24"/>
        </w:rPr>
        <w:t xml:space="preserve"> own, the test setting revealed little about the full complexity of Adam’s life, but it did use his behavior to highlight the specifics relevant to a cultural portrait of disability…It is our </w:t>
      </w:r>
      <w:r w:rsidRPr="00F04A97">
        <w:rPr>
          <w:rFonts w:ascii="Times New Roman" w:hAnsi="Times New Roman" w:cs="Times New Roman"/>
          <w:sz w:val="24"/>
          <w:szCs w:val="24"/>
        </w:rPr>
        <w:lastRenderedPageBreak/>
        <w:t>point that the trait LD was not his; it belonged to the test, its developers and interpreters, and the school systems that had no choice but to take it seriously.” (p.29)</w:t>
      </w:r>
    </w:p>
    <w:p w:rsidR="00A67CA9" w:rsidRPr="00F04A97" w:rsidRDefault="005F61AC"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highlights and markers of learning disabilities are very easily identifiable by since they can be perceived through any setting in life. However, lack of consideration o</w:t>
      </w:r>
      <w:r w:rsidR="00217FCE" w:rsidRPr="00F04A97">
        <w:rPr>
          <w:rFonts w:ascii="Times New Roman" w:hAnsi="Times New Roman" w:cs="Times New Roman"/>
          <w:sz w:val="24"/>
          <w:szCs w:val="24"/>
        </w:rPr>
        <w:t>f the setting of the tests for learning disabilities provides a universal inclination for professionals and communities to victimize children without proper assessment of their skills.</w:t>
      </w:r>
    </w:p>
    <w:p w:rsidR="00217FCE" w:rsidRPr="00F04A97" w:rsidRDefault="00217FCE" w:rsidP="00F04A97">
      <w:pPr>
        <w:spacing w:line="480" w:lineRule="auto"/>
        <w:jc w:val="center"/>
        <w:rPr>
          <w:rFonts w:ascii="Times New Roman" w:hAnsi="Times New Roman" w:cs="Times New Roman"/>
          <w:sz w:val="24"/>
          <w:szCs w:val="24"/>
        </w:rPr>
      </w:pPr>
      <w:r w:rsidRPr="00F04A97">
        <w:rPr>
          <w:rFonts w:ascii="Times New Roman" w:hAnsi="Times New Roman" w:cs="Times New Roman"/>
          <w:sz w:val="24"/>
          <w:szCs w:val="24"/>
        </w:rPr>
        <w:t>Week 4b</w:t>
      </w:r>
    </w:p>
    <w:p w:rsidR="00217FCE" w:rsidRPr="00F04A97" w:rsidRDefault="00217FCE" w:rsidP="00F04A97">
      <w:pPr>
        <w:pStyle w:val="ListParagraph"/>
        <w:numPr>
          <w:ilvl w:val="0"/>
          <w:numId w:val="8"/>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“Paradoxically, a small minority of children on the autism spectrum show exceptional talents in fields typically associated with creativity, including visual arts and music. The fact that these gifts are frequently attributed to exceptional memory and attention to detail conveniently sidesteps any challenge they otherwise pose for the diagnostic criterion of imagination-related difficulties. I argue for a more complex and nuanced account of creativity…” (p.71)</w:t>
      </w:r>
    </w:p>
    <w:p w:rsidR="00217FCE" w:rsidRPr="00F04A97" w:rsidRDefault="00217FCE"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The author presents an argument of judging the mental capabilities of children with ASD primarily based on their creative capabilities. The reason, as the author illustrates, the spectrum is identifiable through numerous behaviors, traits and skills. Academic skills vary with some recording high scores for</w:t>
      </w:r>
      <w:r w:rsidR="00590A45" w:rsidRPr="00F04A97">
        <w:rPr>
          <w:rFonts w:ascii="Times New Roman" w:hAnsi="Times New Roman" w:cs="Times New Roman"/>
          <w:sz w:val="24"/>
          <w:szCs w:val="24"/>
        </w:rPr>
        <w:t xml:space="preserve"> creative fields and others low. </w:t>
      </w:r>
    </w:p>
    <w:p w:rsidR="00590A45" w:rsidRPr="00F04A97" w:rsidRDefault="00590A45" w:rsidP="00F04A97">
      <w:pPr>
        <w:pStyle w:val="ListParagraph"/>
        <w:numPr>
          <w:ilvl w:val="0"/>
          <w:numId w:val="8"/>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”But [Simon Baron-Cohen’s] communications with the children in this experiment follow a script, and his demeanor, though courteous, is detached – almost, one might say, a mirror for the behavior he is studying.”  (p.73)</w:t>
      </w:r>
    </w:p>
    <w:p w:rsidR="00590A45" w:rsidRPr="00F04A97" w:rsidRDefault="00590A4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lastRenderedPageBreak/>
        <w:t xml:space="preserve">The phrase refers to a behavioral technique that sees to ascertain the level of self-awareness of the character. In this context, it is presented in the manner of a script for children, but the researcher employs a variety of settings and parameters, each for the specific behavior under scrutiny. </w:t>
      </w:r>
    </w:p>
    <w:p w:rsidR="00590A45" w:rsidRPr="00F04A97" w:rsidRDefault="00590A45" w:rsidP="00F04A97">
      <w:pPr>
        <w:pStyle w:val="ListParagraph"/>
        <w:numPr>
          <w:ilvl w:val="0"/>
          <w:numId w:val="8"/>
        </w:numPr>
        <w:spacing w:line="480" w:lineRule="auto"/>
        <w:rPr>
          <w:rFonts w:ascii="Times New Roman" w:hAnsi="Times New Roman" w:cs="Times New Roman"/>
          <w:sz w:val="24"/>
          <w:szCs w:val="24"/>
        </w:rPr>
      </w:pPr>
      <w:r w:rsidRPr="00F04A97">
        <w:rPr>
          <w:rFonts w:ascii="Times New Roman" w:hAnsi="Times New Roman" w:cs="Times New Roman"/>
          <w:b/>
          <w:bCs/>
          <w:sz w:val="24"/>
          <w:szCs w:val="24"/>
        </w:rPr>
        <w:t>sally-anne false belief test p.74-77</w:t>
      </w:r>
    </w:p>
    <w:p w:rsidR="00590A45" w:rsidRPr="00F04A97" w:rsidRDefault="00590A45"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test is a psychological evaluation that allows characters to mind read the context in the perception of other people. In this context, the tests is an application </w:t>
      </w:r>
      <w:r w:rsidR="00F04A97" w:rsidRPr="00F04A97">
        <w:rPr>
          <w:rFonts w:ascii="Times New Roman" w:hAnsi="Times New Roman" w:cs="Times New Roman"/>
          <w:sz w:val="24"/>
          <w:szCs w:val="24"/>
        </w:rPr>
        <w:t xml:space="preserve">of an examination to assess how, if at all, a child diagnosed with ASD can mind read, which is easy to interpret for a healthy five year old child. </w:t>
      </w:r>
    </w:p>
    <w:p w:rsidR="00F04A97" w:rsidRPr="00F04A97" w:rsidRDefault="00F04A97" w:rsidP="00F04A97">
      <w:pPr>
        <w:pStyle w:val="ListParagraph"/>
        <w:numPr>
          <w:ilvl w:val="0"/>
          <w:numId w:val="8"/>
        </w:numPr>
        <w:spacing w:line="480" w:lineRule="auto"/>
        <w:rPr>
          <w:rFonts w:ascii="Times New Roman" w:hAnsi="Times New Roman" w:cs="Times New Roman"/>
          <w:b/>
          <w:sz w:val="24"/>
          <w:szCs w:val="24"/>
        </w:rPr>
      </w:pPr>
      <w:r w:rsidRPr="00F04A97">
        <w:rPr>
          <w:rFonts w:ascii="Times New Roman" w:hAnsi="Times New Roman" w:cs="Times New Roman"/>
          <w:b/>
          <w:bCs/>
          <w:sz w:val="24"/>
          <w:szCs w:val="24"/>
        </w:rPr>
        <w:t>perspective taking test (what is she looking at?) p.73-4</w:t>
      </w:r>
    </w:p>
    <w:p w:rsidR="00F04A97" w:rsidRPr="00F04A97" w:rsidRDefault="00F04A97" w:rsidP="00F04A97">
      <w:pPr>
        <w:spacing w:line="480" w:lineRule="auto"/>
        <w:rPr>
          <w:rFonts w:ascii="Times New Roman" w:hAnsi="Times New Roman" w:cs="Times New Roman"/>
          <w:sz w:val="24"/>
          <w:szCs w:val="24"/>
        </w:rPr>
      </w:pPr>
      <w:r w:rsidRPr="00F04A97">
        <w:rPr>
          <w:rFonts w:ascii="Times New Roman" w:hAnsi="Times New Roman" w:cs="Times New Roman"/>
          <w:sz w:val="24"/>
          <w:szCs w:val="24"/>
        </w:rPr>
        <w:t xml:space="preserve">The situation presents an opportunity for the child with ASD to comprehend a situation by analyzing the view of the character in the test. The evaluation examines whether the child is able to relate to the objects presented before them with the respect of the view of the body-centered to coordinate the process. </w:t>
      </w:r>
    </w:p>
    <w:sectPr w:rsidR="00F04A97" w:rsidRPr="00F04A97" w:rsidSect="00F04A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A7A" w:rsidRDefault="00114A7A" w:rsidP="00F04A97">
      <w:pPr>
        <w:spacing w:after="0" w:line="240" w:lineRule="auto"/>
      </w:pPr>
      <w:r>
        <w:separator/>
      </w:r>
    </w:p>
  </w:endnote>
  <w:endnote w:type="continuationSeparator" w:id="1">
    <w:p w:rsidR="00114A7A" w:rsidRDefault="00114A7A" w:rsidP="00F04A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A7A" w:rsidRDefault="00114A7A" w:rsidP="00F04A97">
      <w:pPr>
        <w:spacing w:after="0" w:line="240" w:lineRule="auto"/>
      </w:pPr>
      <w:r>
        <w:separator/>
      </w:r>
    </w:p>
  </w:footnote>
  <w:footnote w:type="continuationSeparator" w:id="1">
    <w:p w:rsidR="00114A7A" w:rsidRDefault="00114A7A" w:rsidP="00F04A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97" w:rsidRPr="00F04A97" w:rsidRDefault="00F04A97">
    <w:pPr>
      <w:pStyle w:val="Header"/>
      <w:jc w:val="right"/>
      <w:rPr>
        <w:rFonts w:ascii="Times New Roman" w:hAnsi="Times New Roman" w:cs="Times New Roman"/>
        <w:sz w:val="24"/>
      </w:rPr>
    </w:pPr>
    <w:r w:rsidRPr="00F04A97">
      <w:rPr>
        <w:rFonts w:ascii="Times New Roman" w:hAnsi="Times New Roman" w:cs="Times New Roman"/>
        <w:sz w:val="24"/>
      </w:rPr>
      <w:t>CREATION OF A STUDY GUIDE</w:t>
    </w:r>
    <w:r w:rsidRPr="00F04A97">
      <w:rPr>
        <w:rFonts w:ascii="Times New Roman" w:hAnsi="Times New Roman" w:cs="Times New Roman"/>
        <w:sz w:val="24"/>
      </w:rPr>
      <w:tab/>
    </w:r>
    <w:r w:rsidRPr="00F04A97">
      <w:rPr>
        <w:rFonts w:ascii="Times New Roman" w:hAnsi="Times New Roman" w:cs="Times New Roman"/>
        <w:sz w:val="24"/>
      </w:rPr>
      <w:tab/>
    </w:r>
    <w:sdt>
      <w:sdtPr>
        <w:rPr>
          <w:rFonts w:ascii="Times New Roman" w:hAnsi="Times New Roman" w:cs="Times New Roman"/>
          <w:sz w:val="24"/>
        </w:rPr>
        <w:id w:val="24327469"/>
        <w:docPartObj>
          <w:docPartGallery w:val="Page Numbers (Top of Page)"/>
          <w:docPartUnique/>
        </w:docPartObj>
      </w:sdtPr>
      <w:sdtContent>
        <w:r w:rsidRPr="00F04A97">
          <w:rPr>
            <w:rFonts w:ascii="Times New Roman" w:hAnsi="Times New Roman" w:cs="Times New Roman"/>
            <w:sz w:val="24"/>
          </w:rPr>
          <w:fldChar w:fldCharType="begin"/>
        </w:r>
        <w:r w:rsidRPr="00F04A97">
          <w:rPr>
            <w:rFonts w:ascii="Times New Roman" w:hAnsi="Times New Roman" w:cs="Times New Roman"/>
            <w:sz w:val="24"/>
          </w:rPr>
          <w:instrText xml:space="preserve"> PAGE   \* MERGEFORMAT </w:instrText>
        </w:r>
        <w:r w:rsidRPr="00F04A97">
          <w:rPr>
            <w:rFonts w:ascii="Times New Roman" w:hAnsi="Times New Roman" w:cs="Times New Roman"/>
            <w:sz w:val="24"/>
          </w:rPr>
          <w:fldChar w:fldCharType="separate"/>
        </w:r>
        <w:r>
          <w:rPr>
            <w:rFonts w:ascii="Times New Roman" w:hAnsi="Times New Roman" w:cs="Times New Roman"/>
            <w:noProof/>
            <w:sz w:val="24"/>
          </w:rPr>
          <w:t>12</w:t>
        </w:r>
        <w:r w:rsidRPr="00F04A97">
          <w:rPr>
            <w:rFonts w:ascii="Times New Roman" w:hAnsi="Times New Roman" w:cs="Times New Roman"/>
            <w:sz w:val="24"/>
          </w:rPr>
          <w:fldChar w:fldCharType="end"/>
        </w:r>
      </w:sdtContent>
    </w:sdt>
  </w:p>
  <w:p w:rsidR="00F04A97" w:rsidRPr="00F04A97" w:rsidRDefault="00F04A9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97" w:rsidRPr="00F04A97" w:rsidRDefault="00F04A97">
    <w:pPr>
      <w:pStyle w:val="Header"/>
      <w:jc w:val="right"/>
      <w:rPr>
        <w:rFonts w:ascii="Times New Roman" w:hAnsi="Times New Roman" w:cs="Times New Roman"/>
        <w:sz w:val="24"/>
      </w:rPr>
    </w:pPr>
    <w:r w:rsidRPr="00F04A97">
      <w:rPr>
        <w:rFonts w:ascii="Times New Roman" w:hAnsi="Times New Roman" w:cs="Times New Roman"/>
        <w:sz w:val="24"/>
      </w:rPr>
      <w:t xml:space="preserve">Running Head: CREATION OF A STUDY GUIDE </w:t>
    </w:r>
    <w:sdt>
      <w:sdtPr>
        <w:rPr>
          <w:rFonts w:ascii="Times New Roman" w:hAnsi="Times New Roman" w:cs="Times New Roman"/>
          <w:sz w:val="24"/>
        </w:rPr>
        <w:id w:val="24327496"/>
        <w:docPartObj>
          <w:docPartGallery w:val="Page Numbers (Top of Page)"/>
          <w:docPartUnique/>
        </w:docPartObj>
      </w:sdtPr>
      <w:sdtContent>
        <w:r w:rsidRPr="00F04A97">
          <w:rPr>
            <w:rFonts w:ascii="Times New Roman" w:hAnsi="Times New Roman" w:cs="Times New Roman"/>
            <w:sz w:val="24"/>
          </w:rPr>
          <w:tab/>
        </w:r>
        <w:r w:rsidRPr="00F04A97">
          <w:rPr>
            <w:rFonts w:ascii="Times New Roman" w:hAnsi="Times New Roman" w:cs="Times New Roman"/>
            <w:sz w:val="24"/>
          </w:rPr>
          <w:fldChar w:fldCharType="begin"/>
        </w:r>
        <w:r w:rsidRPr="00F04A97">
          <w:rPr>
            <w:rFonts w:ascii="Times New Roman" w:hAnsi="Times New Roman" w:cs="Times New Roman"/>
            <w:sz w:val="24"/>
          </w:rPr>
          <w:instrText xml:space="preserve"> PAGE   \* MERGEFORMAT </w:instrText>
        </w:r>
        <w:r w:rsidRPr="00F04A97">
          <w:rPr>
            <w:rFonts w:ascii="Times New Roman" w:hAnsi="Times New Roman" w:cs="Times New Roman"/>
            <w:sz w:val="24"/>
          </w:rPr>
          <w:fldChar w:fldCharType="separate"/>
        </w:r>
        <w:r>
          <w:rPr>
            <w:rFonts w:ascii="Times New Roman" w:hAnsi="Times New Roman" w:cs="Times New Roman"/>
            <w:noProof/>
            <w:sz w:val="24"/>
          </w:rPr>
          <w:t>1</w:t>
        </w:r>
        <w:r w:rsidRPr="00F04A97">
          <w:rPr>
            <w:rFonts w:ascii="Times New Roman" w:hAnsi="Times New Roman" w:cs="Times New Roman"/>
            <w:sz w:val="24"/>
          </w:rPr>
          <w:fldChar w:fldCharType="end"/>
        </w:r>
      </w:sdtContent>
    </w:sdt>
  </w:p>
  <w:p w:rsidR="00F04A97" w:rsidRPr="00F04A97" w:rsidRDefault="00F04A97">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1A1F"/>
    <w:multiLevelType w:val="hybridMultilevel"/>
    <w:tmpl w:val="EDAA22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195C73"/>
    <w:multiLevelType w:val="hybridMultilevel"/>
    <w:tmpl w:val="55CE14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1AB74A2"/>
    <w:multiLevelType w:val="hybridMultilevel"/>
    <w:tmpl w:val="EC704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F01150"/>
    <w:multiLevelType w:val="hybridMultilevel"/>
    <w:tmpl w:val="5284E1E6"/>
    <w:lvl w:ilvl="0" w:tplc="159C769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4A63748"/>
    <w:multiLevelType w:val="hybridMultilevel"/>
    <w:tmpl w:val="C4881326"/>
    <w:lvl w:ilvl="0" w:tplc="A23C567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54A471C"/>
    <w:multiLevelType w:val="hybridMultilevel"/>
    <w:tmpl w:val="069CFB28"/>
    <w:lvl w:ilvl="0" w:tplc="3E96755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DA5301A"/>
    <w:multiLevelType w:val="hybridMultilevel"/>
    <w:tmpl w:val="E16A234A"/>
    <w:lvl w:ilvl="0" w:tplc="88DCF7A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8F14C7D"/>
    <w:multiLevelType w:val="hybridMultilevel"/>
    <w:tmpl w:val="8F24C0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2"/>
  </w:num>
  <w:num w:numId="3">
    <w:abstractNumId w:val="1"/>
  </w:num>
  <w:num w:numId="4">
    <w:abstractNumId w:val="4"/>
  </w:num>
  <w:num w:numId="5">
    <w:abstractNumId w:val="6"/>
  </w:num>
  <w:num w:numId="6">
    <w:abstractNumId w:val="3"/>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35F88"/>
    <w:rsid w:val="0005556E"/>
    <w:rsid w:val="00114A7A"/>
    <w:rsid w:val="0016319A"/>
    <w:rsid w:val="00217FCE"/>
    <w:rsid w:val="00257615"/>
    <w:rsid w:val="00441FD5"/>
    <w:rsid w:val="00451ECB"/>
    <w:rsid w:val="004832AC"/>
    <w:rsid w:val="005330EF"/>
    <w:rsid w:val="00541525"/>
    <w:rsid w:val="00590A45"/>
    <w:rsid w:val="005D72BD"/>
    <w:rsid w:val="005F61AC"/>
    <w:rsid w:val="00623093"/>
    <w:rsid w:val="00644C57"/>
    <w:rsid w:val="006A797F"/>
    <w:rsid w:val="00735F88"/>
    <w:rsid w:val="007D5DD7"/>
    <w:rsid w:val="008879A5"/>
    <w:rsid w:val="008A575A"/>
    <w:rsid w:val="009165BA"/>
    <w:rsid w:val="009B3846"/>
    <w:rsid w:val="00A632F0"/>
    <w:rsid w:val="00A67CA9"/>
    <w:rsid w:val="00A726C8"/>
    <w:rsid w:val="00AB4A04"/>
    <w:rsid w:val="00AC32C9"/>
    <w:rsid w:val="00B259C6"/>
    <w:rsid w:val="00B8151C"/>
    <w:rsid w:val="00D53577"/>
    <w:rsid w:val="00DF6352"/>
    <w:rsid w:val="00E621AC"/>
    <w:rsid w:val="00F04A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C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97F"/>
    <w:pPr>
      <w:ind w:left="720"/>
      <w:contextualSpacing/>
    </w:pPr>
  </w:style>
  <w:style w:type="character" w:styleId="Hyperlink">
    <w:name w:val="Hyperlink"/>
    <w:basedOn w:val="DefaultParagraphFont"/>
    <w:uiPriority w:val="99"/>
    <w:unhideWhenUsed/>
    <w:rsid w:val="0016319A"/>
    <w:rPr>
      <w:color w:val="0000FF" w:themeColor="hyperlink"/>
      <w:u w:val="single"/>
    </w:rPr>
  </w:style>
  <w:style w:type="paragraph" w:styleId="Header">
    <w:name w:val="header"/>
    <w:basedOn w:val="Normal"/>
    <w:link w:val="HeaderChar"/>
    <w:uiPriority w:val="99"/>
    <w:unhideWhenUsed/>
    <w:rsid w:val="00F0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97"/>
  </w:style>
  <w:style w:type="paragraph" w:styleId="Footer">
    <w:name w:val="footer"/>
    <w:basedOn w:val="Normal"/>
    <w:link w:val="FooterChar"/>
    <w:uiPriority w:val="99"/>
    <w:semiHidden/>
    <w:unhideWhenUsed/>
    <w:rsid w:val="00F04A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4A97"/>
  </w:style>
</w:styles>
</file>

<file path=word/webSettings.xml><?xml version="1.0" encoding="utf-8"?>
<w:webSettings xmlns:r="http://schemas.openxmlformats.org/officeDocument/2006/relationships" xmlns:w="http://schemas.openxmlformats.org/wordprocessingml/2006/main">
  <w:divs>
    <w:div w:id="10034922">
      <w:bodyDiv w:val="1"/>
      <w:marLeft w:val="0"/>
      <w:marRight w:val="0"/>
      <w:marTop w:val="0"/>
      <w:marBottom w:val="0"/>
      <w:divBdr>
        <w:top w:val="none" w:sz="0" w:space="0" w:color="auto"/>
        <w:left w:val="none" w:sz="0" w:space="0" w:color="auto"/>
        <w:bottom w:val="none" w:sz="0" w:space="0" w:color="auto"/>
        <w:right w:val="none" w:sz="0" w:space="0" w:color="auto"/>
      </w:divBdr>
    </w:div>
    <w:div w:id="238372959">
      <w:bodyDiv w:val="1"/>
      <w:marLeft w:val="0"/>
      <w:marRight w:val="0"/>
      <w:marTop w:val="0"/>
      <w:marBottom w:val="0"/>
      <w:divBdr>
        <w:top w:val="none" w:sz="0" w:space="0" w:color="auto"/>
        <w:left w:val="none" w:sz="0" w:space="0" w:color="auto"/>
        <w:bottom w:val="none" w:sz="0" w:space="0" w:color="auto"/>
        <w:right w:val="none" w:sz="0" w:space="0" w:color="auto"/>
      </w:divBdr>
    </w:div>
    <w:div w:id="349373432">
      <w:bodyDiv w:val="1"/>
      <w:marLeft w:val="0"/>
      <w:marRight w:val="0"/>
      <w:marTop w:val="0"/>
      <w:marBottom w:val="0"/>
      <w:divBdr>
        <w:top w:val="none" w:sz="0" w:space="0" w:color="auto"/>
        <w:left w:val="none" w:sz="0" w:space="0" w:color="auto"/>
        <w:bottom w:val="none" w:sz="0" w:space="0" w:color="auto"/>
        <w:right w:val="none" w:sz="0" w:space="0" w:color="auto"/>
      </w:divBdr>
    </w:div>
    <w:div w:id="380640926">
      <w:bodyDiv w:val="1"/>
      <w:marLeft w:val="0"/>
      <w:marRight w:val="0"/>
      <w:marTop w:val="0"/>
      <w:marBottom w:val="0"/>
      <w:divBdr>
        <w:top w:val="none" w:sz="0" w:space="0" w:color="auto"/>
        <w:left w:val="none" w:sz="0" w:space="0" w:color="auto"/>
        <w:bottom w:val="none" w:sz="0" w:space="0" w:color="auto"/>
        <w:right w:val="none" w:sz="0" w:space="0" w:color="auto"/>
      </w:divBdr>
    </w:div>
    <w:div w:id="1142625594">
      <w:bodyDiv w:val="1"/>
      <w:marLeft w:val="0"/>
      <w:marRight w:val="0"/>
      <w:marTop w:val="0"/>
      <w:marBottom w:val="0"/>
      <w:divBdr>
        <w:top w:val="none" w:sz="0" w:space="0" w:color="auto"/>
        <w:left w:val="none" w:sz="0" w:space="0" w:color="auto"/>
        <w:bottom w:val="none" w:sz="0" w:space="0" w:color="auto"/>
        <w:right w:val="none" w:sz="0" w:space="0" w:color="auto"/>
      </w:divBdr>
    </w:div>
    <w:div w:id="1164199738">
      <w:bodyDiv w:val="1"/>
      <w:marLeft w:val="0"/>
      <w:marRight w:val="0"/>
      <w:marTop w:val="0"/>
      <w:marBottom w:val="0"/>
      <w:divBdr>
        <w:top w:val="none" w:sz="0" w:space="0" w:color="auto"/>
        <w:left w:val="none" w:sz="0" w:space="0" w:color="auto"/>
        <w:bottom w:val="none" w:sz="0" w:space="0" w:color="auto"/>
        <w:right w:val="none" w:sz="0" w:space="0" w:color="auto"/>
      </w:divBdr>
    </w:div>
    <w:div w:id="1217736898">
      <w:bodyDiv w:val="1"/>
      <w:marLeft w:val="0"/>
      <w:marRight w:val="0"/>
      <w:marTop w:val="0"/>
      <w:marBottom w:val="0"/>
      <w:divBdr>
        <w:top w:val="none" w:sz="0" w:space="0" w:color="auto"/>
        <w:left w:val="none" w:sz="0" w:space="0" w:color="auto"/>
        <w:bottom w:val="none" w:sz="0" w:space="0" w:color="auto"/>
        <w:right w:val="none" w:sz="0" w:space="0" w:color="auto"/>
      </w:divBdr>
    </w:div>
    <w:div w:id="1246644838">
      <w:bodyDiv w:val="1"/>
      <w:marLeft w:val="0"/>
      <w:marRight w:val="0"/>
      <w:marTop w:val="0"/>
      <w:marBottom w:val="0"/>
      <w:divBdr>
        <w:top w:val="none" w:sz="0" w:space="0" w:color="auto"/>
        <w:left w:val="none" w:sz="0" w:space="0" w:color="auto"/>
        <w:bottom w:val="none" w:sz="0" w:space="0" w:color="auto"/>
        <w:right w:val="none" w:sz="0" w:space="0" w:color="auto"/>
      </w:divBdr>
    </w:div>
    <w:div w:id="1265960267">
      <w:bodyDiv w:val="1"/>
      <w:marLeft w:val="0"/>
      <w:marRight w:val="0"/>
      <w:marTop w:val="0"/>
      <w:marBottom w:val="0"/>
      <w:divBdr>
        <w:top w:val="none" w:sz="0" w:space="0" w:color="auto"/>
        <w:left w:val="none" w:sz="0" w:space="0" w:color="auto"/>
        <w:bottom w:val="none" w:sz="0" w:space="0" w:color="auto"/>
        <w:right w:val="none" w:sz="0" w:space="0" w:color="auto"/>
      </w:divBdr>
    </w:div>
    <w:div w:id="1377508615">
      <w:bodyDiv w:val="1"/>
      <w:marLeft w:val="0"/>
      <w:marRight w:val="0"/>
      <w:marTop w:val="0"/>
      <w:marBottom w:val="0"/>
      <w:divBdr>
        <w:top w:val="none" w:sz="0" w:space="0" w:color="auto"/>
        <w:left w:val="none" w:sz="0" w:space="0" w:color="auto"/>
        <w:bottom w:val="none" w:sz="0" w:space="0" w:color="auto"/>
        <w:right w:val="none" w:sz="0" w:space="0" w:color="auto"/>
      </w:divBdr>
    </w:div>
    <w:div w:id="1426657554">
      <w:bodyDiv w:val="1"/>
      <w:marLeft w:val="0"/>
      <w:marRight w:val="0"/>
      <w:marTop w:val="0"/>
      <w:marBottom w:val="0"/>
      <w:divBdr>
        <w:top w:val="none" w:sz="0" w:space="0" w:color="auto"/>
        <w:left w:val="none" w:sz="0" w:space="0" w:color="auto"/>
        <w:bottom w:val="none" w:sz="0" w:space="0" w:color="auto"/>
        <w:right w:val="none" w:sz="0" w:space="0" w:color="auto"/>
      </w:divBdr>
    </w:div>
    <w:div w:id="1487093879">
      <w:bodyDiv w:val="1"/>
      <w:marLeft w:val="0"/>
      <w:marRight w:val="0"/>
      <w:marTop w:val="0"/>
      <w:marBottom w:val="0"/>
      <w:divBdr>
        <w:top w:val="none" w:sz="0" w:space="0" w:color="auto"/>
        <w:left w:val="none" w:sz="0" w:space="0" w:color="auto"/>
        <w:bottom w:val="none" w:sz="0" w:space="0" w:color="auto"/>
        <w:right w:val="none" w:sz="0" w:space="0" w:color="auto"/>
      </w:divBdr>
    </w:div>
    <w:div w:id="1599482677">
      <w:bodyDiv w:val="1"/>
      <w:marLeft w:val="0"/>
      <w:marRight w:val="0"/>
      <w:marTop w:val="0"/>
      <w:marBottom w:val="0"/>
      <w:divBdr>
        <w:top w:val="none" w:sz="0" w:space="0" w:color="auto"/>
        <w:left w:val="none" w:sz="0" w:space="0" w:color="auto"/>
        <w:bottom w:val="none" w:sz="0" w:space="0" w:color="auto"/>
        <w:right w:val="none" w:sz="0" w:space="0" w:color="auto"/>
      </w:divBdr>
    </w:div>
    <w:div w:id="1618179088">
      <w:bodyDiv w:val="1"/>
      <w:marLeft w:val="0"/>
      <w:marRight w:val="0"/>
      <w:marTop w:val="0"/>
      <w:marBottom w:val="0"/>
      <w:divBdr>
        <w:top w:val="none" w:sz="0" w:space="0" w:color="auto"/>
        <w:left w:val="none" w:sz="0" w:space="0" w:color="auto"/>
        <w:bottom w:val="none" w:sz="0" w:space="0" w:color="auto"/>
        <w:right w:val="none" w:sz="0" w:space="0" w:color="auto"/>
      </w:divBdr>
    </w:div>
    <w:div w:id="1638606185">
      <w:bodyDiv w:val="1"/>
      <w:marLeft w:val="0"/>
      <w:marRight w:val="0"/>
      <w:marTop w:val="0"/>
      <w:marBottom w:val="0"/>
      <w:divBdr>
        <w:top w:val="none" w:sz="0" w:space="0" w:color="auto"/>
        <w:left w:val="none" w:sz="0" w:space="0" w:color="auto"/>
        <w:bottom w:val="none" w:sz="0" w:space="0" w:color="auto"/>
        <w:right w:val="none" w:sz="0" w:space="0" w:color="auto"/>
      </w:divBdr>
    </w:div>
    <w:div w:id="1807158808">
      <w:bodyDiv w:val="1"/>
      <w:marLeft w:val="0"/>
      <w:marRight w:val="0"/>
      <w:marTop w:val="0"/>
      <w:marBottom w:val="0"/>
      <w:divBdr>
        <w:top w:val="none" w:sz="0" w:space="0" w:color="auto"/>
        <w:left w:val="none" w:sz="0" w:space="0" w:color="auto"/>
        <w:bottom w:val="none" w:sz="0" w:space="0" w:color="auto"/>
        <w:right w:val="none" w:sz="0" w:space="0" w:color="auto"/>
      </w:divBdr>
    </w:div>
    <w:div w:id="183687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eb.mnstate.edu/gracyk/courses/web%20publishing/KantOnElightenmen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610</TotalTime>
  <Pages>12</Pages>
  <Words>2603</Words>
  <Characters>14841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2019-09-03T14:29:00Z</dcterms:created>
  <dcterms:modified xsi:type="dcterms:W3CDTF">2019-09-04T01:14:00Z</dcterms:modified>
</cp:coreProperties>
</file>